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31" w14:textId="29CEB933" w:rsidR="006C72E5" w:rsidRPr="00484512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484512">
        <w:rPr>
          <w:rFonts w:ascii="TT Firs Neue" w:hAnsi="TT Firs Neue"/>
          <w:b/>
          <w:color w:val="000000" w:themeColor="text1"/>
        </w:rPr>
        <w:t>Додаткова інформація</w:t>
      </w:r>
      <w:r w:rsidR="00B61579">
        <w:rPr>
          <w:rFonts w:ascii="TT Firs Neue" w:hAnsi="TT Firs Neue"/>
          <w:b/>
          <w:color w:val="000000" w:themeColor="text1"/>
        </w:rPr>
        <w:t xml:space="preserve"> </w:t>
      </w:r>
      <w:r w:rsidR="000E694D">
        <w:rPr>
          <w:rFonts w:ascii="TT Firs Neue" w:hAnsi="TT Firs Neue"/>
          <w:b/>
          <w:color w:val="000000" w:themeColor="text1"/>
        </w:rPr>
        <w:t>ЖК Вінгс</w:t>
      </w:r>
    </w:p>
    <w:p w14:paraId="6AFDD23D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60FDB621" w:rsidR="00FD2CEC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rPr>
          <w:rFonts w:ascii="TT Firs Neue" w:hAnsi="TT Firs Neue" w:cs="Times New Roman"/>
          <w:color w:val="000000" w:themeColor="text1"/>
        </w:rPr>
        <w:t xml:space="preserve">Умовна висота об’єкту – </w:t>
      </w:r>
      <w:r w:rsidR="000E694D">
        <w:rPr>
          <w:rFonts w:ascii="TT Firs Neue" w:hAnsi="TT Firs Neue" w:cs="Times New Roman"/>
          <w:color w:val="000000" w:themeColor="text1"/>
        </w:rPr>
        <w:t>26м</w:t>
      </w:r>
    </w:p>
    <w:p w14:paraId="5BD49A8F" w14:textId="17ECD69F" w:rsidR="00FD2CEC" w:rsidRPr="0012120A" w:rsidRDefault="00FD2CEC" w:rsidP="00FD2CEC">
      <w:pPr>
        <w:pStyle w:val="a4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120A">
        <w:rPr>
          <w:rFonts w:ascii="Tahoma" w:hAnsi="Tahoma" w:cs="Tahoma"/>
          <w:color w:val="000000" w:themeColor="text1"/>
          <w:sz w:val="20"/>
          <w:szCs w:val="20"/>
        </w:rPr>
        <w:t>Висота приміщень</w:t>
      </w:r>
      <w:r w:rsidR="0012120A" w:rsidRPr="0012120A">
        <w:rPr>
          <w:rFonts w:ascii="Tahoma" w:hAnsi="Tahoma" w:cs="Tahoma"/>
          <w:color w:val="000000" w:themeColor="text1"/>
          <w:sz w:val="20"/>
          <w:szCs w:val="20"/>
        </w:rPr>
        <w:t xml:space="preserve"> від підлоги до стелі</w:t>
      </w:r>
      <w:r w:rsidRPr="0012120A">
        <w:rPr>
          <w:rFonts w:ascii="Tahoma" w:hAnsi="Tahoma" w:cs="Tahoma"/>
          <w:color w:val="000000" w:themeColor="text1"/>
          <w:sz w:val="20"/>
          <w:szCs w:val="20"/>
        </w:rPr>
        <w:t xml:space="preserve"> : </w:t>
      </w:r>
      <w:r w:rsidR="0012120A" w:rsidRPr="0012120A">
        <w:rPr>
          <w:rFonts w:ascii="Tahoma" w:hAnsi="Tahoma" w:cs="Tahoma"/>
          <w:color w:val="000000" w:themeColor="text1"/>
          <w:sz w:val="20"/>
          <w:szCs w:val="20"/>
        </w:rPr>
        <w:t xml:space="preserve">2,7-4,2м (-1 поверх), </w:t>
      </w:r>
      <w:r w:rsidR="0012120A" w:rsidRPr="0012120A">
        <w:rPr>
          <w:rFonts w:ascii="Tahoma" w:hAnsi="Tahoma" w:cs="Tahoma"/>
          <w:color w:val="000000"/>
          <w:sz w:val="20"/>
          <w:szCs w:val="20"/>
          <w:lang w:val="ru-RU"/>
        </w:rPr>
        <w:t>4,20 (</w:t>
      </w:r>
      <w:r w:rsidR="0012120A" w:rsidRPr="0012120A">
        <w:rPr>
          <w:rFonts w:ascii="Tahoma" w:hAnsi="Tahoma" w:cs="Tahoma"/>
          <w:sz w:val="20"/>
          <w:szCs w:val="20"/>
          <w:lang w:val="ru-RU"/>
        </w:rPr>
        <w:t>приміщення громадського призначення</w:t>
      </w:r>
      <w:r w:rsidR="0012120A" w:rsidRPr="0012120A">
        <w:rPr>
          <w:rFonts w:ascii="Tahoma" w:hAnsi="Tahoma" w:cs="Tahoma"/>
          <w:color w:val="000000" w:themeColor="text1"/>
          <w:sz w:val="20"/>
          <w:szCs w:val="20"/>
        </w:rPr>
        <w:t xml:space="preserve"> ), </w:t>
      </w:r>
      <w:r w:rsidR="0012120A" w:rsidRPr="0012120A">
        <w:rPr>
          <w:rFonts w:ascii="Tahoma" w:hAnsi="Tahoma" w:cs="Tahoma"/>
          <w:sz w:val="20"/>
          <w:szCs w:val="20"/>
          <w:lang w:val="ru-RU"/>
        </w:rPr>
        <w:t>3,</w:t>
      </w:r>
      <w:r w:rsidR="0012120A" w:rsidRPr="0012120A">
        <w:rPr>
          <w:rFonts w:ascii="Tahoma" w:hAnsi="Tahoma" w:cs="Tahoma"/>
          <w:sz w:val="20"/>
          <w:szCs w:val="20"/>
        </w:rPr>
        <w:t>6</w:t>
      </w:r>
      <w:r w:rsidR="0012120A" w:rsidRPr="0012120A">
        <w:rPr>
          <w:rFonts w:ascii="Tahoma" w:hAnsi="Tahoma" w:cs="Tahoma"/>
          <w:sz w:val="20"/>
          <w:szCs w:val="20"/>
          <w:lang w:val="ru-RU"/>
        </w:rPr>
        <w:t>-</w:t>
      </w:r>
      <w:r w:rsidR="0012120A" w:rsidRPr="0012120A">
        <w:rPr>
          <w:rFonts w:ascii="Tahoma" w:hAnsi="Tahoma" w:cs="Tahoma"/>
          <w:sz w:val="20"/>
          <w:szCs w:val="20"/>
        </w:rPr>
        <w:t xml:space="preserve">3,75м </w:t>
      </w:r>
      <w:r w:rsidR="0012120A" w:rsidRPr="0012120A">
        <w:rPr>
          <w:rFonts w:ascii="Tahoma" w:hAnsi="Tahoma" w:cs="Tahoma"/>
          <w:sz w:val="20"/>
          <w:szCs w:val="20"/>
          <w:lang w:val="ru-RU"/>
        </w:rPr>
        <w:t>від підлоги до стелі (вхідний тамбур/вестибюль),</w:t>
      </w:r>
      <w:r w:rsidR="0012120A" w:rsidRPr="0012120A">
        <w:rPr>
          <w:rFonts w:ascii="Tahoma" w:hAnsi="Tahoma" w:cs="Tahoma"/>
          <w:color w:val="000000" w:themeColor="text1"/>
          <w:sz w:val="20"/>
          <w:szCs w:val="20"/>
        </w:rPr>
        <w:t xml:space="preserve"> 2,7м (МЗК, квартири).</w:t>
      </w:r>
    </w:p>
    <w:p w14:paraId="1F20D0A4" w14:textId="384DBA2D" w:rsidR="00FD2CEC" w:rsidRPr="007A2D50" w:rsidRDefault="00FD2CEC" w:rsidP="00FD2CEC">
      <w:pPr>
        <w:pStyle w:val="a4"/>
        <w:numPr>
          <w:ilvl w:val="0"/>
          <w:numId w:val="2"/>
        </w:numPr>
      </w:pPr>
      <w:r w:rsidRPr="00D05DEF">
        <w:t>Прибудинкова територія закрита</w:t>
      </w:r>
      <w:r w:rsidR="002A6119">
        <w:t xml:space="preserve"> від авто</w:t>
      </w:r>
      <w:r w:rsidRPr="00D05DEF">
        <w:t>, елементи благоустрою на території:</w:t>
      </w:r>
      <w:r>
        <w:rPr>
          <w:b/>
          <w:bCs/>
        </w:rPr>
        <w:t xml:space="preserve"> </w:t>
      </w:r>
      <w:r w:rsidRPr="007A2D50">
        <w:t>дитячий майданчик</w:t>
      </w:r>
      <w:r>
        <w:t xml:space="preserve">, </w:t>
      </w:r>
      <w:r w:rsidRPr="007A2D50">
        <w:t>спортивний майданчик</w:t>
      </w:r>
      <w:r>
        <w:t xml:space="preserve">, </w:t>
      </w:r>
      <w:r w:rsidRPr="007A2D50">
        <w:t>зона відпочинку з лавками</w:t>
      </w:r>
      <w:r>
        <w:t xml:space="preserve">, </w:t>
      </w:r>
      <w:r w:rsidRPr="007A2D50">
        <w:t>озеленення (газони, дерева, кущі)</w:t>
      </w:r>
      <w:r>
        <w:t xml:space="preserve">, </w:t>
      </w:r>
      <w:r w:rsidRPr="007A2D50">
        <w:t>пішохідні доріжки</w:t>
      </w:r>
      <w:r>
        <w:t xml:space="preserve">, </w:t>
      </w:r>
      <w:r w:rsidRPr="007A2D50">
        <w:t>освітлення території</w:t>
      </w:r>
      <w:r>
        <w:t xml:space="preserve">, </w:t>
      </w:r>
      <w:r w:rsidRPr="007A2D50">
        <w:t>велопарковки</w:t>
      </w:r>
      <w:r w:rsidR="0012120A">
        <w:t>.</w:t>
      </w:r>
    </w:p>
    <w:p w14:paraId="12F4B381" w14:textId="1363946B" w:rsidR="00FD2CEC" w:rsidRPr="00FD2CEC" w:rsidRDefault="00562B45" w:rsidP="00FD2CEC">
      <w:pPr>
        <w:pStyle w:val="a4"/>
        <w:numPr>
          <w:ilvl w:val="0"/>
          <w:numId w:val="2"/>
        </w:numPr>
      </w:pPr>
      <w:r w:rsidRPr="00562B45">
        <w:t>Багатоквартирні будинки запроєктовано з урахуванням ДБН В.2.2-40:2018 «Інклюзивність будівель і споруд». Для маломобільних груп населення передбачені пониження бордюрів, безбар’єрний вхід, облаштовані паркомісця (8 місць), доступ із підземного паркінгу з нормованим ухилом, ліфти відповідних розмірів та дверні прорізи шириною не менше 0,9 м.</w:t>
      </w:r>
    </w:p>
    <w:p w14:paraId="1636380B" w14:textId="758C3C82" w:rsidR="00FD2CEC" w:rsidRDefault="00FD2CEC" w:rsidP="002B6AFE">
      <w:pPr>
        <w:pStyle w:val="a4"/>
        <w:numPr>
          <w:ilvl w:val="0"/>
          <w:numId w:val="2"/>
        </w:numPr>
      </w:pPr>
      <w:r>
        <w:t xml:space="preserve">У </w:t>
      </w:r>
      <w:r w:rsidR="002B6AFE">
        <w:t>першій черзі будівництва</w:t>
      </w:r>
      <w:r>
        <w:t xml:space="preserve"> </w:t>
      </w:r>
      <w:r w:rsidR="002B6AFE">
        <w:t>передбачено приміщення подвійного призначення в паркінгу, як укриття цивільного населення загальною площею 2100,64   м2, розраховане на всіх мешканців.</w:t>
      </w:r>
    </w:p>
    <w:p w14:paraId="12863617" w14:textId="3EEC7B68" w:rsidR="00F82B3C" w:rsidRPr="00FD2CEC" w:rsidRDefault="00CA065A" w:rsidP="00FD2CEC">
      <w:pPr>
        <w:pStyle w:val="a4"/>
        <w:numPr>
          <w:ilvl w:val="0"/>
          <w:numId w:val="2"/>
        </w:numPr>
      </w:pPr>
      <w:r>
        <w:t>Передбачено підземний паркінг</w:t>
      </w:r>
      <w:r w:rsidR="000E694D">
        <w:t xml:space="preserve">: 1 черга будівництва </w:t>
      </w:r>
      <w:r w:rsidR="000E694D" w:rsidRPr="000E694D">
        <w:t>на 122 машино/місця та 2 місцями для паркінгу мототранспорту</w:t>
      </w:r>
      <w:r w:rsidR="000E694D">
        <w:t xml:space="preserve">, 2 черга будівництва - </w:t>
      </w:r>
      <w:r w:rsidR="000E694D" w:rsidRPr="000E694D">
        <w:t>на 30м/місць</w:t>
      </w:r>
      <w:r w:rsidR="000E694D">
        <w:t xml:space="preserve">, 3 черга будівництва  - </w:t>
      </w:r>
      <w:r w:rsidR="000E694D" w:rsidRPr="000E694D">
        <w:t>на 45 м/місць</w:t>
      </w:r>
      <w:r w:rsidR="000E694D">
        <w:t>.</w:t>
      </w:r>
    </w:p>
    <w:p w14:paraId="32D9B61F" w14:textId="41A4B43E" w:rsidR="00CD2241" w:rsidRPr="002A6119" w:rsidRDefault="00CD2241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 xml:space="preserve">Ідентифікатор об’єкту будівництва в ЄДР </w:t>
      </w:r>
      <w:r w:rsidR="006C72E5" w:rsidRPr="00484512">
        <w:rPr>
          <w:rFonts w:ascii="TT Firs Neue" w:hAnsi="TT Firs Neue" w:cs="Times New Roman"/>
          <w:color w:val="000000" w:themeColor="text1"/>
        </w:rPr>
        <w:t xml:space="preserve"> - </w:t>
      </w:r>
      <w:r w:rsidR="00562B45">
        <w:t>01.2400272.4979446.20241106.27.0000.64, 01.2400200.4979468.20241106.72.0000.50, 01.2400303.4979462.20241106.81.0000.40.</w:t>
      </w:r>
    </w:p>
    <w:p w14:paraId="13155088" w14:textId="77777777" w:rsidR="002A6119" w:rsidRDefault="002A6119" w:rsidP="002A6119">
      <w:pPr>
        <w:pStyle w:val="a4"/>
        <w:numPr>
          <w:ilvl w:val="0"/>
          <w:numId w:val="2"/>
        </w:numPr>
        <w:spacing w:line="256" w:lineRule="auto"/>
        <w:jc w:val="both"/>
        <w:rPr>
          <w:rFonts w:ascii="TT Firs Neue" w:hAnsi="TT Firs Neue" w:cs="Times New Roman"/>
          <w:color w:val="000000" w:themeColor="text1"/>
        </w:rPr>
      </w:pPr>
      <w:r>
        <w:t>Відомості про кінцевого бенефіціарного власника замовника будівництва: Мазманіду Юлія, номер паспорта - К00506227. Забудовник не перебуває у процесі банкрутства.</w:t>
      </w:r>
    </w:p>
    <w:p w14:paraId="74BCD20E" w14:textId="003EA5D7" w:rsidR="002A6119" w:rsidRPr="002A6119" w:rsidRDefault="002A6119" w:rsidP="002A6119">
      <w:pPr>
        <w:pStyle w:val="a4"/>
        <w:numPr>
          <w:ilvl w:val="0"/>
          <w:numId w:val="2"/>
        </w:numPr>
        <w:spacing w:line="256" w:lineRule="auto"/>
        <w:jc w:val="both"/>
        <w:rPr>
          <w:rFonts w:ascii="TT Firs Neue" w:hAnsi="TT Firs Neue" w:cs="Times New Roman"/>
          <w:color w:val="000000" w:themeColor="text1"/>
        </w:rPr>
      </w:pPr>
      <w:r>
        <w:t>Відомості про кінцевого бенефіціарного власника генерального підрядника: Мазманіду Юлія, номер паспорта - К00506227. Генеральний підрядник не перебуває у процесі банкрутства.</w:t>
      </w:r>
    </w:p>
    <w:p w14:paraId="77695018" w14:textId="646CEA2F" w:rsidR="006C72E5" w:rsidRPr="0000217A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484512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484512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3EE72C6A" w:rsidR="0007418D" w:rsidRPr="00FD2CEC" w:rsidRDefault="006C72E5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D2CEC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2A6119">
        <w:rPr>
          <w:rFonts w:ascii="TT Firs Neue" w:hAnsi="TT Firs Neue" w:cs="Times New Roman"/>
          <w:color w:val="000000" w:themeColor="text1"/>
          <w:sz w:val="21"/>
          <w:szCs w:val="21"/>
        </w:rPr>
        <w:t xml:space="preserve">1 черга – </w:t>
      </w:r>
      <w:r w:rsidR="00131B8E">
        <w:rPr>
          <w:rFonts w:ascii="TT Firs Neue" w:hAnsi="TT Firs Neue" w:cs="Times New Roman"/>
          <w:color w:val="000000" w:themeColor="text1"/>
          <w:sz w:val="21"/>
          <w:szCs w:val="21"/>
        </w:rPr>
        <w:t>3</w:t>
      </w:r>
      <w:r w:rsidR="002A6119">
        <w:rPr>
          <w:rFonts w:ascii="TT Firs Neue" w:hAnsi="TT Firs Neue" w:cs="Times New Roman"/>
          <w:color w:val="000000" w:themeColor="text1"/>
          <w:sz w:val="21"/>
          <w:szCs w:val="21"/>
        </w:rPr>
        <w:t xml:space="preserve"> квартал 2026 року.</w:t>
      </w:r>
    </w:p>
    <w:p w14:paraId="1B032267" w14:textId="77777777" w:rsidR="008577F2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8577F2">
        <w:rPr>
          <w:rFonts w:ascii="TT Firs Neue" w:hAnsi="TT Firs Neue" w:cs="Times New Roman"/>
          <w:color w:val="000000" w:themeColor="text1"/>
        </w:rPr>
        <w:t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проєкту можливі зміни, зумовлені коригуванням проєктної документації, вимогами законодавства та технічних регламентів.</w:t>
      </w:r>
    </w:p>
    <w:p w14:paraId="3223A8C5" w14:textId="2A8A69A2" w:rsidR="00CD2241" w:rsidRPr="0007418D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07418D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07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747">
    <w:abstractNumId w:val="1"/>
  </w:num>
  <w:num w:numId="2" w16cid:durableId="1365059451">
    <w:abstractNumId w:val="0"/>
  </w:num>
  <w:num w:numId="3" w16cid:durableId="19352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7418D"/>
    <w:rsid w:val="000E694D"/>
    <w:rsid w:val="0012120A"/>
    <w:rsid w:val="00131B8E"/>
    <w:rsid w:val="002344B4"/>
    <w:rsid w:val="002A6119"/>
    <w:rsid w:val="002B6AFE"/>
    <w:rsid w:val="00342C5F"/>
    <w:rsid w:val="00484512"/>
    <w:rsid w:val="00520859"/>
    <w:rsid w:val="00562B45"/>
    <w:rsid w:val="00566CFF"/>
    <w:rsid w:val="00685686"/>
    <w:rsid w:val="006C72E5"/>
    <w:rsid w:val="007E1846"/>
    <w:rsid w:val="008577F2"/>
    <w:rsid w:val="00B61579"/>
    <w:rsid w:val="00CA065A"/>
    <w:rsid w:val="00CB550D"/>
    <w:rsid w:val="00CD2241"/>
    <w:rsid w:val="00D05DEF"/>
    <w:rsid w:val="00F82B3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orenda.intergalbud@gmail.com</cp:lastModifiedBy>
  <cp:revision>17</cp:revision>
  <dcterms:created xsi:type="dcterms:W3CDTF">2024-06-07T12:01:00Z</dcterms:created>
  <dcterms:modified xsi:type="dcterms:W3CDTF">2026-02-23T15:21:00Z</dcterms:modified>
</cp:coreProperties>
</file>